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</w:t>
      </w:r>
    </w:p>
    <w:p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</w:t>
      </w:r>
    </w:p>
    <w:p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постановлением</w:t>
      </w:r>
    </w:p>
    <w:p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08 октября 2020 года № 798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ПОЛОЖЕНИЕ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 комиссии по осуществлению контроля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за состоянием незаселенных жилых помещений жилищного фонда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Ямало-Ненецкого автономного округа, расположенных на территории муниципального образования Тазовский район, предназначенных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для предоставления детям-сиротам и лицам из их числа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numPr>
          <w:ilvl w:val="0"/>
          <w:numId w:val="21"/>
        </w:numPr>
        <w:spacing w:after="0" w:line="240" w:lineRule="auto"/>
        <w:ind w:left="0"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Общие положения</w:t>
      </w:r>
    </w:p>
    <w:p>
      <w:pPr>
        <w:spacing w:after="0" w:line="240" w:lineRule="auto"/>
        <w:ind w:left="720"/>
        <w:rPr>
          <w:rFonts w:ascii="PT Astra Serif" w:hAnsi="PT Astra Serif"/>
          <w:sz w:val="28"/>
          <w:szCs w:val="28"/>
        </w:rPr>
      </w:pPr>
    </w:p>
    <w:p>
      <w:pPr>
        <w:numPr>
          <w:ilvl w:val="1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Положение о комиссии по осуществлению контроля за состоянием незаселенных жилых помещений жилищного фонда Ямало-Ненецкого автономного округа, расположенных на территории муниципального образования Тазовский район, предназначенных для предоставления детям-сиротам и лицам из их числа (далее - Положение, комиссия), определяет периодичность заседаний, иные положения, регулирующие деятельность комиссии.</w:t>
      </w:r>
    </w:p>
    <w:p>
      <w:pPr>
        <w:numPr>
          <w:ilvl w:val="1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Комиссия является постоянно действующей. В своей деятельности комиссия руководствуется протоколом заседания Совета глав при Губернаторе Ямало-Ненецкого автономного округа от 06 мая 2020 года № 1, соглашением         о взаимодействии Управления делами Правительства Ямало-Ненецкого автономного округа и муниципального образования Тазовский район                            от 10 июля 2020 года № 2007-09, Уставом муниципального образования Тазовский район и настоящим Положением.</w:t>
      </w:r>
    </w:p>
    <w:p>
      <w:pPr>
        <w:numPr>
          <w:ilvl w:val="1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Комиссия действует бессрочно.</w:t>
      </w:r>
    </w:p>
    <w:p>
      <w:pPr>
        <w:spacing w:after="0" w:line="240" w:lineRule="auto"/>
        <w:ind w:left="709"/>
        <w:jc w:val="both"/>
        <w:rPr>
          <w:rFonts w:ascii="PT Astra Serif" w:hAnsi="PT Astra Serif"/>
          <w:sz w:val="28"/>
          <w:szCs w:val="28"/>
        </w:rPr>
      </w:pPr>
    </w:p>
    <w:p>
      <w:pPr>
        <w:numPr>
          <w:ilvl w:val="0"/>
          <w:numId w:val="21"/>
        </w:numPr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Основные функции комиссии</w:t>
      </w:r>
    </w:p>
    <w:p>
      <w:pPr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>
      <w:pPr>
        <w:numPr>
          <w:ilvl w:val="1"/>
          <w:numId w:val="2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Контроль</w:t>
      </w:r>
      <w:r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за состоянием незаселенных жилых помещений жилищного фонда Ямало-Ненецкого автономного округа, расположенных                      на территории муниципального образования Тазовский район, предназначенных для предоставления детям-сиротам и лицам из их числа, осуществляется в целях повышения эффективности и совершенствования                   мер по обеспечению сохранности жилых помещений жилищного фонда                    Ямало-Ненецкого автономного округа, расположенных на территории муниципального образования Тазовский район.</w:t>
      </w:r>
    </w:p>
    <w:p>
      <w:pPr>
        <w:numPr>
          <w:ilvl w:val="1"/>
          <w:numId w:val="2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В рамках данного Положения комиссия выполняет следующие функции: </w:t>
      </w:r>
    </w:p>
    <w:p>
      <w:pPr>
        <w:pStyle w:val="a6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проводит обследования жилых помещений жилищного фонда Ямало-Ненецкого автономного округа, расположенных на территории </w:t>
      </w:r>
      <w:r>
        <w:rPr>
          <w:rFonts w:ascii="PT Astra Serif" w:hAnsi="PT Astra Serif"/>
          <w:spacing w:val="-20"/>
          <w:sz w:val="28"/>
          <w:szCs w:val="28"/>
        </w:rPr>
        <w:t>муниципального</w:t>
      </w:r>
      <w:r>
        <w:rPr>
          <w:rFonts w:ascii="PT Astra Serif" w:hAnsi="PT Astra Serif"/>
          <w:sz w:val="28"/>
          <w:szCs w:val="28"/>
        </w:rPr>
        <w:t xml:space="preserve"> образования Тазовский район, предназначенных для предоставления детям-сиротам и лицам из их числа, на предмет их сохранности не реже одного раза                      в месяц путем визуального осмотра жилых помещений с фотофиксацией;</w:t>
      </w:r>
    </w:p>
    <w:p>
      <w:pPr>
        <w:pStyle w:val="a6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 выявлении повреждений и характерных признаков нарушения технического состояния жилого помещения, в течение трех рабочих дней информирует об этом Управление делами Правительства Ямало-Ненецкого автономного округа (собственника) с фотофиксацией и указанием дефектов         и замечаний;</w:t>
      </w:r>
    </w:p>
    <w:p>
      <w:pPr>
        <w:pStyle w:val="a6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итогам проведения проверок в течение 1 рабочего дня составляется                      акт обследования жилого помещения по форме согласно приложению                             к настоящему Положению, который хранится в Департаменте образования Администрации Тазовского района;</w:t>
      </w:r>
    </w:p>
    <w:p>
      <w:pPr>
        <w:pStyle w:val="a6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случаях возникновения в жилых помещениях жилищно-коммунальных аварий либо иных чрезвычайных ситуаций, способных нанести ущерб жилому помещению и находящемуся в нем имуществу, принимает необходимые меры   по устранению аварийной ситуации и не позднее чем на следующий                             день уведомляет об этом Управление делами Правительства Ямало-Ненецкого автономного округа посредством оперативных средств связи (телефонной, мобильной, факсимильной и др.).</w:t>
      </w: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numPr>
          <w:ilvl w:val="0"/>
          <w:numId w:val="21"/>
        </w:numPr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Организация</w:t>
      </w:r>
      <w:r>
        <w:rPr>
          <w:rFonts w:ascii="PT Astra Serif" w:hAnsi="PT Astra Serif"/>
          <w:b/>
          <w:sz w:val="28"/>
          <w:szCs w:val="28"/>
          <w:lang w:val="en-US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>деятельности</w:t>
      </w: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numPr>
          <w:ilvl w:val="1"/>
          <w:numId w:val="3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Деятельность в составе комиссии осуществляется на безвозмездной основе.</w:t>
      </w:r>
    </w:p>
    <w:p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Обследования жилых помещений комиссией проводятся не реже                    1 раза в месяц.</w:t>
      </w:r>
    </w:p>
    <w:p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Деятельность комиссии считается правомочной, если присутствует не менее двух ее членов.</w:t>
      </w:r>
    </w:p>
    <w:p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Информационно-аналитическую деятельность комиссии о</w:t>
      </w:r>
      <w:r>
        <w:rPr>
          <w:rFonts w:ascii="PT Astra Serif" w:hAnsi="PT Astra Serif"/>
          <w:color w:val="000000"/>
          <w:spacing w:val="-20"/>
          <w:sz w:val="28"/>
          <w:szCs w:val="28"/>
        </w:rPr>
        <w:t>беспечива</w:t>
      </w:r>
      <w:r>
        <w:rPr>
          <w:rFonts w:ascii="PT Astra Serif" w:hAnsi="PT Astra Serif"/>
          <w:color w:val="000000"/>
          <w:sz w:val="28"/>
          <w:szCs w:val="28"/>
        </w:rPr>
        <w:t>ет ее секретарь.</w:t>
      </w: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sectPr>
      <w:headerReference w:type="default" r:id="rId7"/>
      <w:foot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e"/>
      <w:spacing w:after="0" w:line="240" w:lineRule="auto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c"/>
      <w:spacing w:after="0"/>
      <w:jc w:val="center"/>
      <w:rPr>
        <w:rFonts w:ascii="PT Astra Serif" w:hAnsi="PT Astra Serif"/>
        <w:sz w:val="24"/>
      </w:rPr>
    </w:pPr>
    <w:r>
      <w:rPr>
        <w:rFonts w:ascii="PT Astra Serif" w:hAnsi="PT Astra Serif"/>
        <w:sz w:val="24"/>
      </w:rPr>
      <w:fldChar w:fldCharType="begin"/>
    </w:r>
    <w:r>
      <w:rPr>
        <w:rFonts w:ascii="PT Astra Serif" w:hAnsi="PT Astra Serif"/>
        <w:sz w:val="24"/>
      </w:rPr>
      <w:instrText>PAGE   \* MERGEFORMAT</w:instrText>
    </w:r>
    <w:r>
      <w:rPr>
        <w:rFonts w:ascii="PT Astra Serif" w:hAnsi="PT Astra Serif"/>
        <w:sz w:val="24"/>
      </w:rPr>
      <w:fldChar w:fldCharType="separate"/>
    </w:r>
    <w:r>
      <w:rPr>
        <w:rFonts w:ascii="PT Astra Serif" w:hAnsi="PT Astra Serif"/>
        <w:noProof/>
        <w:sz w:val="24"/>
      </w:rPr>
      <w:t>2</w:t>
    </w:r>
    <w:r>
      <w:rPr>
        <w:rFonts w:ascii="PT Astra Serif" w:hAnsi="PT Astra Serif"/>
        <w:sz w:val="24"/>
      </w:rPr>
      <w:fldChar w:fldCharType="end"/>
    </w:r>
  </w:p>
  <w:p>
    <w:pPr>
      <w:pStyle w:val="ac"/>
      <w:spacing w:after="0"/>
      <w:rPr>
        <w:rFonts w:ascii="PT Astra Serif" w:hAnsi="PT Astra Serif"/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19060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84E38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F7011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66C7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38ACF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54C9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62A0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664F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4C0B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328CF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FA7F36"/>
    <w:multiLevelType w:val="hybridMultilevel"/>
    <w:tmpl w:val="2244F47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FA6FAE"/>
    <w:multiLevelType w:val="hybridMultilevel"/>
    <w:tmpl w:val="F886B2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7F804D6"/>
    <w:multiLevelType w:val="multilevel"/>
    <w:tmpl w:val="F41C8B5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28F90A74"/>
    <w:multiLevelType w:val="hybridMultilevel"/>
    <w:tmpl w:val="8102BF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A5F2906"/>
    <w:multiLevelType w:val="hybridMultilevel"/>
    <w:tmpl w:val="1564FA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25752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0B722B2"/>
    <w:multiLevelType w:val="multilevel"/>
    <w:tmpl w:val="00E2437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CDE427F"/>
    <w:multiLevelType w:val="multilevel"/>
    <w:tmpl w:val="78B2C00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DAA5BF3"/>
    <w:multiLevelType w:val="multilevel"/>
    <w:tmpl w:val="75769C58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91"/>
        </w:tabs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62"/>
        </w:tabs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93"/>
        </w:tabs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64"/>
        </w:tabs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295"/>
        </w:tabs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226"/>
        </w:tabs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97"/>
        </w:tabs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28"/>
        </w:tabs>
        <w:ind w:left="14728" w:hanging="2160"/>
      </w:pPr>
      <w:rPr>
        <w:rFonts w:hint="default"/>
      </w:rPr>
    </w:lvl>
  </w:abstractNum>
  <w:abstractNum w:abstractNumId="19">
    <w:nsid w:val="3F2D5B64"/>
    <w:multiLevelType w:val="hybridMultilevel"/>
    <w:tmpl w:val="4A3E911E"/>
    <w:lvl w:ilvl="0" w:tplc="E0EAFB5A">
      <w:start w:val="1"/>
      <w:numFmt w:val="decimal"/>
      <w:lvlText w:val="%1."/>
      <w:lvlJc w:val="left"/>
      <w:pPr>
        <w:ind w:left="1909" w:hanging="120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84C5716"/>
    <w:multiLevelType w:val="hybridMultilevel"/>
    <w:tmpl w:val="AE384742"/>
    <w:lvl w:ilvl="0" w:tplc="7D6E466A">
      <w:start w:val="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>
    <w:nsid w:val="49453340"/>
    <w:multiLevelType w:val="multilevel"/>
    <w:tmpl w:val="5B30C9D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234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2">
    <w:nsid w:val="570055C8"/>
    <w:multiLevelType w:val="multilevel"/>
    <w:tmpl w:val="08D2BF5C"/>
    <w:lvl w:ilvl="0">
      <w:start w:val="1"/>
      <w:numFmt w:val="decimal"/>
      <w:lvlText w:val="%1."/>
      <w:lvlJc w:val="left"/>
      <w:pPr>
        <w:ind w:left="1699" w:hanging="99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909" w:hanging="1200"/>
      </w:pPr>
    </w:lvl>
    <w:lvl w:ilvl="2">
      <w:start w:val="1"/>
      <w:numFmt w:val="decimal"/>
      <w:isLgl/>
      <w:lvlText w:val="%1.%2.%3."/>
      <w:lvlJc w:val="left"/>
      <w:pPr>
        <w:ind w:left="1909" w:hanging="1200"/>
      </w:pPr>
    </w:lvl>
    <w:lvl w:ilvl="3">
      <w:start w:val="1"/>
      <w:numFmt w:val="decimal"/>
      <w:isLgl/>
      <w:lvlText w:val="%1.%2.%3.%4."/>
      <w:lvlJc w:val="left"/>
      <w:pPr>
        <w:ind w:left="1909" w:hanging="1200"/>
      </w:pPr>
    </w:lvl>
    <w:lvl w:ilvl="4">
      <w:start w:val="1"/>
      <w:numFmt w:val="decimal"/>
      <w:isLgl/>
      <w:lvlText w:val="%1.%2.%3.%4.%5."/>
      <w:lvlJc w:val="left"/>
      <w:pPr>
        <w:ind w:left="1909" w:hanging="120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3">
    <w:nsid w:val="5EF11B06"/>
    <w:multiLevelType w:val="hybridMultilevel"/>
    <w:tmpl w:val="06AEC4F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486798"/>
    <w:multiLevelType w:val="multilevel"/>
    <w:tmpl w:val="00E2437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6CAD6795"/>
    <w:multiLevelType w:val="multilevel"/>
    <w:tmpl w:val="B09E5264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26">
    <w:nsid w:val="716B5430"/>
    <w:multiLevelType w:val="singleLevel"/>
    <w:tmpl w:val="E64239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7">
    <w:nsid w:val="77AC5703"/>
    <w:multiLevelType w:val="hybridMultilevel"/>
    <w:tmpl w:val="2244F47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1346B5"/>
    <w:multiLevelType w:val="multilevel"/>
    <w:tmpl w:val="C3A077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>
    <w:nsid w:val="7E490D35"/>
    <w:multiLevelType w:val="hybridMultilevel"/>
    <w:tmpl w:val="551EDA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6"/>
    <w:lvlOverride w:ilvl="0">
      <w:startOverride w:val="1"/>
    </w:lvlOverride>
  </w:num>
  <w:num w:numId="2">
    <w:abstractNumId w:val="15"/>
    <w:lvlOverride w:ilvl="0">
      <w:startOverride w:val="1"/>
    </w:lvlOverride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7"/>
  </w:num>
  <w:num w:numId="15">
    <w:abstractNumId w:val="10"/>
  </w:num>
  <w:num w:numId="16">
    <w:abstractNumId w:val="23"/>
  </w:num>
  <w:num w:numId="17">
    <w:abstractNumId w:val="11"/>
  </w:num>
  <w:num w:numId="18">
    <w:abstractNumId w:val="13"/>
  </w:num>
  <w:num w:numId="19">
    <w:abstractNumId w:val="19"/>
  </w:num>
  <w:num w:numId="20">
    <w:abstractNumId w:val="25"/>
  </w:num>
  <w:num w:numId="21">
    <w:abstractNumId w:val="12"/>
  </w:num>
  <w:num w:numId="22">
    <w:abstractNumId w:val="20"/>
  </w:num>
  <w:num w:numId="23">
    <w:abstractNumId w:val="18"/>
  </w:num>
  <w:num w:numId="24">
    <w:abstractNumId w:val="22"/>
  </w:num>
  <w:num w:numId="25">
    <w:abstractNumId w:val="21"/>
  </w:num>
  <w:num w:numId="26">
    <w:abstractNumId w:val="29"/>
  </w:num>
  <w:num w:numId="27">
    <w:abstractNumId w:val="24"/>
  </w:num>
  <w:num w:numId="28">
    <w:abstractNumId w:val="17"/>
  </w:num>
  <w:num w:numId="29">
    <w:abstractNumId w:val="16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380136-2485-42AA-A4C9-080A57E5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eastAsia="Calibri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jc w:val="both"/>
      <w:outlineLvl w:val="3"/>
    </w:pPr>
    <w:rPr>
      <w:rFonts w:eastAsia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pPr>
      <w:spacing w:after="120" w:line="240" w:lineRule="auto"/>
    </w:pPr>
    <w:rPr>
      <w:rFonts w:eastAsia="Calibri"/>
      <w:sz w:val="24"/>
      <w:szCs w:val="24"/>
    </w:rPr>
  </w:style>
  <w:style w:type="character" w:customStyle="1" w:styleId="a5">
    <w:name w:val="Основной текст Знак"/>
    <w:link w:val="a4"/>
    <w:semiHidden/>
    <w:locked/>
    <w:rPr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rPr>
      <w:sz w:val="24"/>
      <w:lang w:val="ru-RU" w:eastAsia="ru-RU" w:bidi="ar-SA"/>
    </w:rPr>
  </w:style>
  <w:style w:type="character" w:customStyle="1" w:styleId="40">
    <w:name w:val="Заголовок 4 Знак"/>
    <w:link w:val="4"/>
    <w:rPr>
      <w:sz w:val="24"/>
      <w:lang w:val="ru-RU" w:eastAsia="ru-RU" w:bidi="ar-SA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customStyle="1" w:styleId="Iauiue">
    <w:name w:val="Iau?iue"/>
    <w:pPr>
      <w:suppressAutoHyphens/>
    </w:pPr>
    <w:rPr>
      <w:rFonts w:ascii="Times New Roman" w:eastAsia="Times New Roman" w:hAnsi="Times New Roman"/>
      <w:lang w:eastAsia="ar-SA"/>
    </w:rPr>
  </w:style>
  <w:style w:type="paragraph" w:styleId="a7">
    <w:name w:val="Title"/>
    <w:basedOn w:val="a"/>
    <w:link w:val="a8"/>
    <w:qFormat/>
    <w:pPr>
      <w:spacing w:after="0" w:line="240" w:lineRule="auto"/>
      <w:jc w:val="center"/>
    </w:pPr>
    <w:rPr>
      <w:rFonts w:eastAsia="Calibri"/>
      <w:sz w:val="24"/>
      <w:szCs w:val="20"/>
    </w:rPr>
  </w:style>
  <w:style w:type="character" w:customStyle="1" w:styleId="a8">
    <w:name w:val="Название Знак"/>
    <w:link w:val="a7"/>
    <w:locked/>
    <w:rPr>
      <w:sz w:val="24"/>
      <w:lang w:val="ru-RU" w:eastAsia="ru-RU" w:bidi="ar-SA"/>
    </w:rPr>
  </w:style>
  <w:style w:type="character" w:customStyle="1" w:styleId="FontStyle19">
    <w:name w:val="Font Style19"/>
    <w:rPr>
      <w:rFonts w:ascii="Calibri" w:hAnsi="Calibri" w:cs="Calibri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Pr>
      <w:rFonts w:eastAsia="Times New Roman"/>
      <w:sz w:val="22"/>
      <w:szCs w:val="22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Pr>
      <w:rFonts w:eastAsia="Times New Roman"/>
      <w:sz w:val="22"/>
      <w:szCs w:val="22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0">
    <w:name w:val="Цветовое выделение"/>
    <w:uiPriority w:val="99"/>
    <w:rPr>
      <w:b/>
      <w:bCs/>
      <w:color w:val="26282F"/>
    </w:rPr>
  </w:style>
  <w:style w:type="paragraph" w:customStyle="1" w:styleId="af1">
    <w:name w:val="Таблицы (моноширинный)"/>
    <w:basedOn w:val="a"/>
    <w:next w:val="a"/>
    <w:uiPriority w:val="9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4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3473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Фадеева Алена Михайловна</cp:lastModifiedBy>
  <cp:revision>84</cp:revision>
  <cp:lastPrinted>2020-10-08T11:15:00Z</cp:lastPrinted>
  <dcterms:created xsi:type="dcterms:W3CDTF">2015-12-10T04:34:00Z</dcterms:created>
  <dcterms:modified xsi:type="dcterms:W3CDTF">2020-10-08T11:15:00Z</dcterms:modified>
</cp:coreProperties>
</file>